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B2" w:rsidRPr="000D3B41" w:rsidRDefault="00E250B2" w:rsidP="00E250B2">
      <w:pPr>
        <w:spacing w:line="360" w:lineRule="auto"/>
        <w:ind w:firstLine="708"/>
        <w:jc w:val="left"/>
        <w:rPr>
          <w:b/>
          <w:sz w:val="21"/>
          <w:szCs w:val="21"/>
        </w:rPr>
      </w:pPr>
      <w:r w:rsidRPr="000D3B41">
        <w:rPr>
          <w:b/>
          <w:sz w:val="21"/>
          <w:szCs w:val="21"/>
        </w:rPr>
        <w:t>Правила оформления (форматирования) тезисов</w:t>
      </w:r>
    </w:p>
    <w:p w:rsidR="00E250B2" w:rsidRPr="000D3B41" w:rsidRDefault="00E250B2" w:rsidP="00E250B2">
      <w:pPr>
        <w:numPr>
          <w:ilvl w:val="0"/>
          <w:numId w:val="2"/>
        </w:numPr>
        <w:spacing w:before="60"/>
        <w:rPr>
          <w:sz w:val="21"/>
          <w:szCs w:val="21"/>
        </w:rPr>
      </w:pPr>
      <w:r w:rsidRPr="000D3B41">
        <w:rPr>
          <w:sz w:val="21"/>
          <w:szCs w:val="21"/>
        </w:rPr>
        <w:t>размер бумаги «А 4», ориентация «книжная», поля верхнее и нижнее, левое и правое «2 см», табуляция «0,75» (устанавливается через выпадающее меню Формат);</w:t>
      </w:r>
    </w:p>
    <w:p w:rsidR="00E250B2" w:rsidRPr="000D3B41" w:rsidRDefault="00E250B2" w:rsidP="00E250B2">
      <w:pPr>
        <w:pStyle w:val="2"/>
        <w:numPr>
          <w:ilvl w:val="0"/>
          <w:numId w:val="2"/>
        </w:numPr>
        <w:spacing w:before="60"/>
        <w:rPr>
          <w:sz w:val="21"/>
          <w:szCs w:val="21"/>
        </w:rPr>
      </w:pPr>
      <w:r w:rsidRPr="000D3B41">
        <w:rPr>
          <w:sz w:val="21"/>
          <w:szCs w:val="21"/>
        </w:rPr>
        <w:t>шрифт «</w:t>
      </w:r>
      <w:proofErr w:type="spellStart"/>
      <w:r w:rsidRPr="000D3B41">
        <w:rPr>
          <w:sz w:val="21"/>
          <w:szCs w:val="21"/>
        </w:rPr>
        <w:t>Times</w:t>
      </w:r>
      <w:proofErr w:type="spellEnd"/>
      <w:r w:rsidRPr="000D3B41">
        <w:rPr>
          <w:sz w:val="21"/>
          <w:szCs w:val="21"/>
        </w:rPr>
        <w:t xml:space="preserve"> </w:t>
      </w:r>
      <w:proofErr w:type="spellStart"/>
      <w:r w:rsidRPr="000D3B41">
        <w:rPr>
          <w:sz w:val="21"/>
          <w:szCs w:val="21"/>
        </w:rPr>
        <w:t>New</w:t>
      </w:r>
      <w:proofErr w:type="spellEnd"/>
      <w:r w:rsidRPr="000D3B41">
        <w:rPr>
          <w:sz w:val="21"/>
          <w:szCs w:val="21"/>
        </w:rPr>
        <w:t xml:space="preserve"> </w:t>
      </w:r>
      <w:proofErr w:type="spellStart"/>
      <w:r w:rsidRPr="000D3B41">
        <w:rPr>
          <w:sz w:val="21"/>
          <w:szCs w:val="21"/>
        </w:rPr>
        <w:t>Roman</w:t>
      </w:r>
      <w:proofErr w:type="spellEnd"/>
      <w:r w:rsidRPr="000D3B41">
        <w:rPr>
          <w:sz w:val="21"/>
          <w:szCs w:val="21"/>
        </w:rPr>
        <w:t xml:space="preserve">», стиль «Обычный», межстрочный интервал «Одинарный» </w:t>
      </w:r>
      <w:r w:rsidRPr="000D3B41">
        <w:rPr>
          <w:spacing w:val="-2"/>
          <w:sz w:val="21"/>
          <w:szCs w:val="21"/>
        </w:rPr>
        <w:t>размер шрифта «12», кроме подрисуночных подписей и текстов сносок, размер которых «11»;</w:t>
      </w:r>
    </w:p>
    <w:p w:rsidR="00E250B2" w:rsidRPr="000D3B41" w:rsidRDefault="00E250B2" w:rsidP="00E250B2">
      <w:pPr>
        <w:numPr>
          <w:ilvl w:val="0"/>
          <w:numId w:val="2"/>
        </w:numPr>
        <w:spacing w:before="60"/>
        <w:rPr>
          <w:sz w:val="21"/>
          <w:szCs w:val="21"/>
        </w:rPr>
      </w:pPr>
      <w:r w:rsidRPr="000D3B41">
        <w:rPr>
          <w:sz w:val="21"/>
          <w:szCs w:val="21"/>
        </w:rPr>
        <w:t xml:space="preserve">объём тезисов не более 2-3 страниц (до </w:t>
      </w:r>
      <w:r>
        <w:rPr>
          <w:sz w:val="21"/>
          <w:szCs w:val="21"/>
        </w:rPr>
        <w:t>9</w:t>
      </w:r>
      <w:r w:rsidRPr="000D3B41">
        <w:rPr>
          <w:sz w:val="21"/>
          <w:szCs w:val="21"/>
        </w:rPr>
        <w:t xml:space="preserve"> 000 символов с пробелами по показаниям выпадающего меню </w:t>
      </w:r>
      <w:proofErr w:type="spellStart"/>
      <w:r w:rsidRPr="000D3B41">
        <w:rPr>
          <w:sz w:val="21"/>
          <w:szCs w:val="21"/>
        </w:rPr>
        <w:t>Сервис\Статистика</w:t>
      </w:r>
      <w:proofErr w:type="spellEnd"/>
      <w:r w:rsidRPr="000D3B41">
        <w:rPr>
          <w:sz w:val="21"/>
          <w:szCs w:val="21"/>
        </w:rPr>
        <w:t xml:space="preserve">), тип файла «Текст в формате </w:t>
      </w:r>
      <w:r w:rsidRPr="000D3B41">
        <w:rPr>
          <w:sz w:val="21"/>
          <w:szCs w:val="21"/>
          <w:lang w:val="en-US"/>
        </w:rPr>
        <w:t>RTF</w:t>
      </w:r>
      <w:r w:rsidRPr="000D3B41">
        <w:rPr>
          <w:sz w:val="21"/>
          <w:szCs w:val="21"/>
        </w:rPr>
        <w:t xml:space="preserve">» </w:t>
      </w:r>
      <w:r w:rsidRPr="000D3B41">
        <w:rPr>
          <w:b/>
          <w:sz w:val="21"/>
          <w:szCs w:val="21"/>
        </w:rPr>
        <w:t>(*.</w:t>
      </w:r>
      <w:r w:rsidRPr="000D3B41">
        <w:rPr>
          <w:b/>
          <w:sz w:val="21"/>
          <w:szCs w:val="21"/>
          <w:lang w:val="en-US"/>
        </w:rPr>
        <w:t>rtf</w:t>
      </w:r>
      <w:r w:rsidRPr="000D3B41">
        <w:rPr>
          <w:b/>
          <w:sz w:val="21"/>
          <w:szCs w:val="21"/>
        </w:rPr>
        <w:t>)</w:t>
      </w:r>
      <w:r w:rsidRPr="000D3B41">
        <w:rPr>
          <w:sz w:val="21"/>
          <w:szCs w:val="21"/>
        </w:rPr>
        <w:t>;</w:t>
      </w:r>
    </w:p>
    <w:p w:rsidR="00E250B2" w:rsidRPr="000D3B41" w:rsidRDefault="00E250B2" w:rsidP="00E250B2">
      <w:pPr>
        <w:numPr>
          <w:ilvl w:val="0"/>
          <w:numId w:val="2"/>
        </w:numPr>
        <w:spacing w:before="60"/>
        <w:rPr>
          <w:sz w:val="21"/>
          <w:szCs w:val="21"/>
        </w:rPr>
      </w:pPr>
      <w:r w:rsidRPr="000D3B41">
        <w:rPr>
          <w:b/>
          <w:sz w:val="21"/>
          <w:szCs w:val="21"/>
        </w:rPr>
        <w:t>Имя Отчество Фамилия автора (-</w:t>
      </w:r>
      <w:proofErr w:type="spellStart"/>
      <w:r w:rsidRPr="000D3B41">
        <w:rPr>
          <w:b/>
          <w:sz w:val="21"/>
          <w:szCs w:val="21"/>
        </w:rPr>
        <w:t>ов</w:t>
      </w:r>
      <w:proofErr w:type="spellEnd"/>
      <w:r w:rsidRPr="000D3B41">
        <w:rPr>
          <w:b/>
          <w:sz w:val="21"/>
          <w:szCs w:val="21"/>
        </w:rPr>
        <w:t>) тезисов приводятся на русском и английском языках</w:t>
      </w:r>
      <w:r w:rsidRPr="000D3B41">
        <w:rPr>
          <w:sz w:val="21"/>
          <w:szCs w:val="21"/>
        </w:rPr>
        <w:t xml:space="preserve"> перед названием тезиса с левой стороны листа. Между инициалами и фамилией ставится пробел. </w:t>
      </w:r>
      <w:r w:rsidRPr="000D3B41">
        <w:rPr>
          <w:b/>
          <w:sz w:val="21"/>
          <w:szCs w:val="21"/>
        </w:rPr>
        <w:t>Название тезиса (на русском и английском языках)</w:t>
      </w:r>
      <w:r w:rsidRPr="000D3B41">
        <w:rPr>
          <w:sz w:val="21"/>
          <w:szCs w:val="21"/>
        </w:rPr>
        <w:t xml:space="preserve"> – с левой стороны листа, без отступа, жирным шрифтом. Ниже приводятся </w:t>
      </w:r>
      <w:r w:rsidRPr="000D3B41">
        <w:rPr>
          <w:b/>
          <w:sz w:val="21"/>
          <w:szCs w:val="21"/>
        </w:rPr>
        <w:t>ключевые слова (не более семи) и краткая аннотация (не более 3-5 предложений) на русском и английском языках</w:t>
      </w:r>
      <w:r w:rsidRPr="000D3B41">
        <w:rPr>
          <w:sz w:val="21"/>
          <w:szCs w:val="21"/>
        </w:rPr>
        <w:t xml:space="preserve">. После следует текст тезиса — выравнивание по ширине, без переносов и без применения стилей. </w:t>
      </w:r>
    </w:p>
    <w:p w:rsidR="00E250B2" w:rsidRPr="000D3B41" w:rsidRDefault="00E250B2" w:rsidP="00E250B2">
      <w:pPr>
        <w:numPr>
          <w:ilvl w:val="0"/>
          <w:numId w:val="2"/>
        </w:numPr>
        <w:spacing w:before="60"/>
        <w:rPr>
          <w:sz w:val="21"/>
          <w:szCs w:val="21"/>
        </w:rPr>
      </w:pPr>
      <w:r w:rsidRPr="000D3B41">
        <w:rPr>
          <w:sz w:val="21"/>
          <w:szCs w:val="21"/>
        </w:rPr>
        <w:t xml:space="preserve">графики, таблицы и формулы создаются средствами </w:t>
      </w:r>
      <w:r w:rsidRPr="000D3B41">
        <w:rPr>
          <w:sz w:val="21"/>
          <w:szCs w:val="21"/>
          <w:lang w:val="en-US"/>
        </w:rPr>
        <w:t>Microsoft</w:t>
      </w:r>
      <w:r w:rsidRPr="000D3B41">
        <w:rPr>
          <w:sz w:val="21"/>
          <w:szCs w:val="21"/>
        </w:rPr>
        <w:t xml:space="preserve"> </w:t>
      </w:r>
      <w:r w:rsidRPr="000D3B41">
        <w:rPr>
          <w:sz w:val="21"/>
          <w:szCs w:val="21"/>
          <w:lang w:val="en-US"/>
        </w:rPr>
        <w:t>Word</w:t>
      </w:r>
      <w:r w:rsidRPr="000D3B41">
        <w:rPr>
          <w:sz w:val="21"/>
          <w:szCs w:val="21"/>
        </w:rPr>
        <w:t xml:space="preserve">, нумеруются, например, </w:t>
      </w:r>
      <w:r w:rsidRPr="000D3B41">
        <w:rPr>
          <w:b/>
          <w:sz w:val="21"/>
          <w:szCs w:val="21"/>
        </w:rPr>
        <w:t>табл. 1 и формула (1);</w:t>
      </w:r>
    </w:p>
    <w:p w:rsidR="00E250B2" w:rsidRPr="000D3B41" w:rsidRDefault="00E250B2" w:rsidP="00E250B2">
      <w:pPr>
        <w:numPr>
          <w:ilvl w:val="0"/>
          <w:numId w:val="2"/>
        </w:numPr>
        <w:spacing w:before="60"/>
        <w:rPr>
          <w:sz w:val="21"/>
          <w:szCs w:val="21"/>
        </w:rPr>
      </w:pPr>
      <w:r w:rsidRPr="000D3B41">
        <w:rPr>
          <w:sz w:val="21"/>
          <w:szCs w:val="21"/>
        </w:rPr>
        <w:t>Тезисы</w:t>
      </w:r>
      <w:r w:rsidRPr="000D3B41">
        <w:rPr>
          <w:b/>
          <w:sz w:val="21"/>
          <w:szCs w:val="21"/>
        </w:rPr>
        <w:t xml:space="preserve"> публикуются без иллюстраций</w:t>
      </w:r>
    </w:p>
    <w:p w:rsidR="00E250B2" w:rsidRPr="000D3B41" w:rsidRDefault="00E250B2" w:rsidP="00E250B2">
      <w:pPr>
        <w:numPr>
          <w:ilvl w:val="0"/>
          <w:numId w:val="2"/>
        </w:numPr>
        <w:spacing w:after="200"/>
        <w:rPr>
          <w:sz w:val="21"/>
          <w:szCs w:val="21"/>
        </w:rPr>
      </w:pPr>
      <w:r w:rsidRPr="000D3B41">
        <w:rPr>
          <w:sz w:val="21"/>
          <w:szCs w:val="21"/>
        </w:rPr>
        <w:t>Ссылки и примечания даются следующим образом Меню – Вставка – Ссылка – Сноска. Нумерация 1,2,3 сносок по страничных по следующему образцу:</w:t>
      </w:r>
    </w:p>
    <w:p w:rsidR="00E250B2" w:rsidRPr="000D3B41" w:rsidRDefault="00E250B2" w:rsidP="00E250B2">
      <w:pPr>
        <w:ind w:left="340" w:hanging="340"/>
        <w:rPr>
          <w:sz w:val="21"/>
          <w:szCs w:val="21"/>
        </w:rPr>
      </w:pPr>
      <w:r w:rsidRPr="000D3B41">
        <w:rPr>
          <w:b/>
          <w:sz w:val="21"/>
          <w:szCs w:val="21"/>
          <w:vertAlign w:val="superscript"/>
        </w:rPr>
        <w:t>1</w:t>
      </w:r>
      <w:r w:rsidRPr="000D3B41">
        <w:rPr>
          <w:b/>
          <w:sz w:val="21"/>
          <w:szCs w:val="21"/>
        </w:rPr>
        <w:tab/>
      </w:r>
      <w:r w:rsidRPr="000D3B41">
        <w:rPr>
          <w:i/>
          <w:sz w:val="21"/>
          <w:szCs w:val="21"/>
        </w:rPr>
        <w:t>Крылов О.К</w:t>
      </w:r>
      <w:r w:rsidRPr="000D3B41">
        <w:rPr>
          <w:b/>
          <w:i/>
          <w:sz w:val="21"/>
          <w:szCs w:val="21"/>
        </w:rPr>
        <w:t>.</w:t>
      </w:r>
      <w:r w:rsidRPr="000D3B41">
        <w:rPr>
          <w:b/>
          <w:sz w:val="21"/>
          <w:szCs w:val="21"/>
        </w:rPr>
        <w:t xml:space="preserve"> </w:t>
      </w:r>
      <w:r w:rsidRPr="000D3B41">
        <w:rPr>
          <w:sz w:val="21"/>
          <w:szCs w:val="21"/>
        </w:rPr>
        <w:t>Расселение и планировочная структура крупных городов-агломераций. – М., 1990. – с.215.</w:t>
      </w:r>
    </w:p>
    <w:p w:rsidR="00E250B2" w:rsidRPr="000D3B41" w:rsidRDefault="00E250B2" w:rsidP="00E250B2">
      <w:pPr>
        <w:ind w:left="340" w:hanging="340"/>
        <w:rPr>
          <w:sz w:val="21"/>
          <w:szCs w:val="21"/>
        </w:rPr>
      </w:pPr>
      <w:r w:rsidRPr="000D3B41">
        <w:rPr>
          <w:i/>
          <w:sz w:val="21"/>
          <w:szCs w:val="21"/>
        </w:rPr>
        <w:t>Или если это электронный ресурс:</w:t>
      </w:r>
    </w:p>
    <w:p w:rsidR="00E250B2" w:rsidRPr="000D3B41" w:rsidRDefault="00E250B2" w:rsidP="00E250B2">
      <w:pPr>
        <w:ind w:left="340" w:hanging="340"/>
        <w:rPr>
          <w:b/>
          <w:sz w:val="21"/>
          <w:szCs w:val="21"/>
        </w:rPr>
      </w:pPr>
      <w:r w:rsidRPr="000D3B41">
        <w:rPr>
          <w:b/>
          <w:sz w:val="21"/>
          <w:szCs w:val="21"/>
          <w:vertAlign w:val="superscript"/>
        </w:rPr>
        <w:t xml:space="preserve">2    </w:t>
      </w:r>
      <w:r w:rsidRPr="000D3B41">
        <w:rPr>
          <w:b/>
          <w:sz w:val="21"/>
          <w:szCs w:val="21"/>
        </w:rPr>
        <w:t>Российская книжная палата</w:t>
      </w:r>
      <w:r w:rsidRPr="000D3B41">
        <w:rPr>
          <w:sz w:val="21"/>
          <w:szCs w:val="21"/>
        </w:rPr>
        <w:t xml:space="preserve">: [сайт]. </w:t>
      </w:r>
      <w:r w:rsidRPr="000D3B41">
        <w:rPr>
          <w:sz w:val="21"/>
          <w:szCs w:val="21"/>
          <w:lang w:val="en-US"/>
        </w:rPr>
        <w:t>URL</w:t>
      </w:r>
      <w:r w:rsidRPr="000D3B41">
        <w:rPr>
          <w:sz w:val="21"/>
          <w:szCs w:val="21"/>
        </w:rPr>
        <w:t xml:space="preserve">: </w:t>
      </w:r>
      <w:r w:rsidRPr="000D3B41">
        <w:rPr>
          <w:sz w:val="21"/>
          <w:szCs w:val="21"/>
          <w:lang w:val="en-US"/>
        </w:rPr>
        <w:t>http</w:t>
      </w:r>
      <w:r w:rsidRPr="000D3B41">
        <w:rPr>
          <w:sz w:val="21"/>
          <w:szCs w:val="21"/>
        </w:rPr>
        <w:t>://</w:t>
      </w:r>
      <w:r w:rsidRPr="000D3B41">
        <w:rPr>
          <w:sz w:val="21"/>
          <w:szCs w:val="21"/>
          <w:lang w:val="en-US"/>
        </w:rPr>
        <w:t>www</w:t>
      </w:r>
      <w:r w:rsidRPr="000D3B41">
        <w:rPr>
          <w:sz w:val="21"/>
          <w:szCs w:val="21"/>
        </w:rPr>
        <w:t>.</w:t>
      </w:r>
      <w:proofErr w:type="spellStart"/>
      <w:r w:rsidRPr="000D3B41">
        <w:rPr>
          <w:sz w:val="21"/>
          <w:szCs w:val="21"/>
          <w:lang w:val="en-US"/>
        </w:rPr>
        <w:t>bookchamber</w:t>
      </w:r>
      <w:proofErr w:type="spellEnd"/>
      <w:r w:rsidRPr="000D3B41">
        <w:rPr>
          <w:sz w:val="21"/>
          <w:szCs w:val="21"/>
        </w:rPr>
        <w:t>.</w:t>
      </w:r>
      <w:proofErr w:type="spellStart"/>
      <w:r w:rsidRPr="000D3B41">
        <w:rPr>
          <w:sz w:val="21"/>
          <w:szCs w:val="21"/>
          <w:lang w:val="en-US"/>
        </w:rPr>
        <w:t>ru</w:t>
      </w:r>
      <w:proofErr w:type="spellEnd"/>
      <w:r w:rsidRPr="000D3B41">
        <w:rPr>
          <w:sz w:val="21"/>
          <w:szCs w:val="21"/>
        </w:rPr>
        <w:t>.</w:t>
      </w:r>
    </w:p>
    <w:p w:rsidR="00E250B2" w:rsidRPr="000D3B41" w:rsidRDefault="00E250B2" w:rsidP="00E250B2">
      <w:pPr>
        <w:rPr>
          <w:sz w:val="21"/>
          <w:szCs w:val="21"/>
        </w:rPr>
      </w:pPr>
    </w:p>
    <w:p w:rsidR="00E250B2" w:rsidRPr="000D3B41" w:rsidRDefault="00E250B2" w:rsidP="00E250B2">
      <w:pPr>
        <w:numPr>
          <w:ilvl w:val="0"/>
          <w:numId w:val="2"/>
        </w:numPr>
        <w:rPr>
          <w:sz w:val="21"/>
          <w:szCs w:val="21"/>
        </w:rPr>
      </w:pPr>
      <w:r w:rsidRPr="000D3B41">
        <w:rPr>
          <w:sz w:val="21"/>
          <w:szCs w:val="21"/>
        </w:rPr>
        <w:t>Библиография (иначе – список публикаций, наиболее полно раскрывающих содержание тезиса)  предоставляется по правилам библиотечного описания:</w:t>
      </w:r>
    </w:p>
    <w:p w:rsidR="00E250B2" w:rsidRPr="000D3B41" w:rsidRDefault="00E250B2" w:rsidP="00E250B2">
      <w:pPr>
        <w:pStyle w:val="a3"/>
        <w:tabs>
          <w:tab w:val="left" w:pos="426"/>
        </w:tabs>
        <w:ind w:firstLine="0"/>
        <w:rPr>
          <w:b/>
          <w:sz w:val="21"/>
          <w:szCs w:val="21"/>
        </w:rPr>
      </w:pPr>
    </w:p>
    <w:p w:rsidR="00E250B2" w:rsidRPr="000D3B41" w:rsidRDefault="00E250B2" w:rsidP="00E250B2">
      <w:pPr>
        <w:pStyle w:val="a3"/>
        <w:tabs>
          <w:tab w:val="left" w:pos="426"/>
        </w:tabs>
        <w:ind w:firstLine="0"/>
        <w:rPr>
          <w:b/>
          <w:sz w:val="21"/>
          <w:szCs w:val="21"/>
        </w:rPr>
      </w:pPr>
      <w:r w:rsidRPr="000D3B41">
        <w:rPr>
          <w:b/>
          <w:sz w:val="21"/>
          <w:szCs w:val="21"/>
        </w:rPr>
        <w:t>Библиография:</w:t>
      </w:r>
    </w:p>
    <w:p w:rsidR="00E250B2" w:rsidRPr="000D3B41" w:rsidRDefault="00E250B2" w:rsidP="00E250B2">
      <w:pPr>
        <w:pStyle w:val="a3"/>
        <w:numPr>
          <w:ilvl w:val="0"/>
          <w:numId w:val="1"/>
        </w:numPr>
        <w:tabs>
          <w:tab w:val="left" w:pos="426"/>
        </w:tabs>
        <w:suppressAutoHyphens/>
        <w:spacing w:after="0"/>
        <w:ind w:left="0" w:firstLine="0"/>
        <w:rPr>
          <w:b/>
          <w:sz w:val="21"/>
          <w:szCs w:val="21"/>
        </w:rPr>
      </w:pPr>
      <w:proofErr w:type="spellStart"/>
      <w:r w:rsidRPr="000D3B41">
        <w:rPr>
          <w:i/>
          <w:sz w:val="21"/>
          <w:szCs w:val="21"/>
        </w:rPr>
        <w:t>Гоготишвили</w:t>
      </w:r>
      <w:proofErr w:type="spellEnd"/>
      <w:r w:rsidRPr="000D3B41">
        <w:rPr>
          <w:i/>
          <w:sz w:val="21"/>
          <w:szCs w:val="21"/>
        </w:rPr>
        <w:t xml:space="preserve"> Л.А.</w:t>
      </w:r>
      <w:r w:rsidRPr="000D3B41">
        <w:rPr>
          <w:b/>
          <w:sz w:val="21"/>
          <w:szCs w:val="21"/>
        </w:rPr>
        <w:t xml:space="preserve"> </w:t>
      </w:r>
      <w:r w:rsidRPr="000D3B41">
        <w:rPr>
          <w:sz w:val="21"/>
          <w:szCs w:val="21"/>
        </w:rPr>
        <w:t>Религиозно-философский статус языка. – М.: Мысль, 1993.</w:t>
      </w:r>
    </w:p>
    <w:p w:rsidR="00E250B2" w:rsidRPr="000D3B41" w:rsidRDefault="00E250B2" w:rsidP="00E250B2">
      <w:pPr>
        <w:pStyle w:val="a3"/>
        <w:numPr>
          <w:ilvl w:val="0"/>
          <w:numId w:val="1"/>
        </w:numPr>
        <w:tabs>
          <w:tab w:val="left" w:pos="426"/>
        </w:tabs>
        <w:suppressAutoHyphens/>
        <w:spacing w:after="0"/>
        <w:ind w:left="0" w:firstLine="0"/>
        <w:rPr>
          <w:b/>
          <w:sz w:val="21"/>
          <w:szCs w:val="21"/>
        </w:rPr>
      </w:pPr>
      <w:proofErr w:type="spellStart"/>
      <w:r w:rsidRPr="000D3B41">
        <w:rPr>
          <w:i/>
          <w:sz w:val="21"/>
          <w:szCs w:val="21"/>
        </w:rPr>
        <w:t>Кошаев</w:t>
      </w:r>
      <w:proofErr w:type="spellEnd"/>
      <w:r w:rsidRPr="000D3B41">
        <w:rPr>
          <w:i/>
          <w:sz w:val="21"/>
          <w:szCs w:val="21"/>
        </w:rPr>
        <w:t xml:space="preserve"> В.Б.</w:t>
      </w:r>
      <w:r w:rsidRPr="000D3B41">
        <w:rPr>
          <w:b/>
          <w:sz w:val="21"/>
          <w:szCs w:val="21"/>
        </w:rPr>
        <w:t xml:space="preserve"> </w:t>
      </w:r>
      <w:r w:rsidRPr="000D3B41">
        <w:rPr>
          <w:sz w:val="21"/>
          <w:szCs w:val="21"/>
        </w:rPr>
        <w:t>Онтология народного искусства // Вестник МГХПУ имени С.Г. Строганова. 2010.– №1. – С. 148-161.</w:t>
      </w:r>
    </w:p>
    <w:p w:rsidR="00E250B2" w:rsidRPr="000D3B41" w:rsidRDefault="00E250B2" w:rsidP="00E250B2">
      <w:pPr>
        <w:pStyle w:val="a3"/>
        <w:numPr>
          <w:ilvl w:val="0"/>
          <w:numId w:val="1"/>
        </w:numPr>
        <w:tabs>
          <w:tab w:val="left" w:pos="426"/>
        </w:tabs>
        <w:suppressAutoHyphens/>
        <w:spacing w:after="0"/>
        <w:ind w:left="0" w:firstLine="0"/>
        <w:rPr>
          <w:b/>
          <w:sz w:val="21"/>
          <w:szCs w:val="21"/>
        </w:rPr>
      </w:pPr>
      <w:r w:rsidRPr="000D3B41">
        <w:rPr>
          <w:i/>
          <w:sz w:val="21"/>
          <w:szCs w:val="21"/>
        </w:rPr>
        <w:t>Национальный исследовательский Томский политехнический университет</w:t>
      </w:r>
      <w:r w:rsidRPr="000D3B41">
        <w:rPr>
          <w:b/>
          <w:sz w:val="21"/>
          <w:szCs w:val="21"/>
        </w:rPr>
        <w:t xml:space="preserve"> </w:t>
      </w:r>
      <w:r w:rsidRPr="000D3B41">
        <w:rPr>
          <w:sz w:val="21"/>
          <w:szCs w:val="21"/>
        </w:rPr>
        <w:t>[Электронный ресурс] : офиц. сайт. Томск, 2002. URL: http://www.tpu.ru (дата обращения: 17.03.2011).</w:t>
      </w:r>
    </w:p>
    <w:p w:rsidR="00E250B2" w:rsidRPr="000D3B41" w:rsidRDefault="00E250B2" w:rsidP="00E250B2">
      <w:pPr>
        <w:pStyle w:val="a3"/>
        <w:tabs>
          <w:tab w:val="left" w:pos="426"/>
        </w:tabs>
        <w:suppressAutoHyphens/>
        <w:spacing w:after="0"/>
        <w:rPr>
          <w:sz w:val="21"/>
          <w:szCs w:val="21"/>
        </w:rPr>
      </w:pPr>
    </w:p>
    <w:p w:rsidR="00E250B2" w:rsidRPr="000D3B41" w:rsidRDefault="00E250B2" w:rsidP="00E250B2">
      <w:pPr>
        <w:pStyle w:val="a3"/>
        <w:tabs>
          <w:tab w:val="left" w:pos="426"/>
        </w:tabs>
        <w:suppressAutoHyphens/>
        <w:spacing w:after="0"/>
        <w:rPr>
          <w:sz w:val="21"/>
          <w:szCs w:val="21"/>
        </w:rPr>
      </w:pPr>
    </w:p>
    <w:p w:rsidR="00E250B2" w:rsidRPr="000D3B41" w:rsidRDefault="00E250B2" w:rsidP="00E250B2">
      <w:pPr>
        <w:ind w:firstLine="0"/>
        <w:jc w:val="center"/>
        <w:rPr>
          <w:b/>
          <w:sz w:val="21"/>
          <w:szCs w:val="21"/>
        </w:rPr>
      </w:pPr>
      <w:r w:rsidRPr="000D3B41">
        <w:rPr>
          <w:sz w:val="21"/>
          <w:szCs w:val="21"/>
        </w:rPr>
        <w:br w:type="page"/>
      </w:r>
      <w:r w:rsidRPr="000D3B41">
        <w:rPr>
          <w:b/>
          <w:sz w:val="21"/>
          <w:szCs w:val="21"/>
        </w:rPr>
        <w:lastRenderedPageBreak/>
        <w:t>Образец оформления</w:t>
      </w:r>
    </w:p>
    <w:p w:rsidR="00E250B2" w:rsidRPr="000D3B41" w:rsidRDefault="00E250B2" w:rsidP="00E250B2">
      <w:pPr>
        <w:ind w:firstLine="0"/>
        <w:rPr>
          <w:sz w:val="21"/>
          <w:szCs w:val="21"/>
        </w:rPr>
      </w:pPr>
    </w:p>
    <w:p w:rsidR="00E250B2" w:rsidRPr="000D3B41" w:rsidRDefault="00E250B2" w:rsidP="00E250B2">
      <w:pPr>
        <w:ind w:firstLine="0"/>
        <w:rPr>
          <w:sz w:val="21"/>
          <w:szCs w:val="21"/>
        </w:rPr>
      </w:pP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/>
          <w:bCs/>
          <w:sz w:val="21"/>
          <w:szCs w:val="21"/>
        </w:rPr>
      </w:pPr>
      <w:r w:rsidRPr="000D3B41">
        <w:rPr>
          <w:b/>
          <w:bCs/>
          <w:sz w:val="21"/>
          <w:szCs w:val="21"/>
        </w:rPr>
        <w:t xml:space="preserve">А.В. </w:t>
      </w:r>
      <w:proofErr w:type="spellStart"/>
      <w:r w:rsidRPr="000D3B41">
        <w:rPr>
          <w:b/>
          <w:bCs/>
          <w:sz w:val="21"/>
          <w:szCs w:val="21"/>
        </w:rPr>
        <w:t>Трощинская</w:t>
      </w:r>
      <w:proofErr w:type="spellEnd"/>
      <w:r w:rsidRPr="000D3B41">
        <w:rPr>
          <w:b/>
          <w:bCs/>
          <w:sz w:val="21"/>
          <w:szCs w:val="21"/>
        </w:rPr>
        <w:t xml:space="preserve"> </w:t>
      </w: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/>
          <w:bCs/>
          <w:sz w:val="21"/>
          <w:szCs w:val="21"/>
        </w:rPr>
      </w:pPr>
      <w:r w:rsidRPr="000D3B41">
        <w:rPr>
          <w:b/>
          <w:bCs/>
          <w:sz w:val="21"/>
          <w:szCs w:val="21"/>
          <w:lang w:val="en-US"/>
        </w:rPr>
        <w:t>A</w:t>
      </w:r>
      <w:r w:rsidRPr="000D3B41">
        <w:rPr>
          <w:b/>
          <w:bCs/>
          <w:sz w:val="21"/>
          <w:szCs w:val="21"/>
        </w:rPr>
        <w:t>.</w:t>
      </w:r>
      <w:r w:rsidRPr="000D3B41">
        <w:rPr>
          <w:b/>
          <w:bCs/>
          <w:sz w:val="21"/>
          <w:szCs w:val="21"/>
          <w:lang w:val="en-US"/>
        </w:rPr>
        <w:t>V</w:t>
      </w:r>
      <w:r w:rsidRPr="000D3B41">
        <w:rPr>
          <w:b/>
          <w:bCs/>
          <w:sz w:val="21"/>
          <w:szCs w:val="21"/>
        </w:rPr>
        <w:t xml:space="preserve">. </w:t>
      </w:r>
      <w:proofErr w:type="spellStart"/>
      <w:r w:rsidRPr="000D3B41">
        <w:rPr>
          <w:b/>
          <w:bCs/>
          <w:sz w:val="21"/>
          <w:szCs w:val="21"/>
          <w:lang w:val="en-US"/>
        </w:rPr>
        <w:t>Trozhinskaya</w:t>
      </w:r>
      <w:proofErr w:type="spellEnd"/>
      <w:r w:rsidRPr="000D3B41">
        <w:rPr>
          <w:b/>
          <w:bCs/>
          <w:sz w:val="21"/>
          <w:szCs w:val="21"/>
        </w:rPr>
        <w:t xml:space="preserve"> </w:t>
      </w: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/>
          <w:bCs/>
          <w:sz w:val="21"/>
          <w:szCs w:val="21"/>
        </w:rPr>
      </w:pPr>
    </w:p>
    <w:p w:rsidR="00E250B2" w:rsidRPr="00E250B2" w:rsidRDefault="00E250B2" w:rsidP="00E250B2">
      <w:pPr>
        <w:autoSpaceDE w:val="0"/>
        <w:autoSpaceDN w:val="0"/>
        <w:adjustRightInd w:val="0"/>
        <w:ind w:firstLine="0"/>
        <w:jc w:val="left"/>
        <w:rPr>
          <w:b/>
          <w:bCs/>
          <w:sz w:val="21"/>
          <w:szCs w:val="21"/>
        </w:rPr>
      </w:pPr>
      <w:r w:rsidRPr="000D3B41">
        <w:rPr>
          <w:b/>
          <w:bCs/>
          <w:sz w:val="21"/>
          <w:szCs w:val="21"/>
        </w:rPr>
        <w:t>Фарфоровая пластика XVIII века</w:t>
      </w:r>
    </w:p>
    <w:p w:rsidR="00E250B2" w:rsidRPr="00E250B2" w:rsidRDefault="00E250B2" w:rsidP="00E250B2">
      <w:pPr>
        <w:autoSpaceDE w:val="0"/>
        <w:autoSpaceDN w:val="0"/>
        <w:adjustRightInd w:val="0"/>
        <w:ind w:firstLine="0"/>
        <w:jc w:val="left"/>
        <w:rPr>
          <w:b/>
          <w:bCs/>
          <w:sz w:val="21"/>
          <w:szCs w:val="21"/>
        </w:rPr>
      </w:pPr>
      <w:r w:rsidRPr="000D3B41">
        <w:rPr>
          <w:rStyle w:val="hps"/>
          <w:b/>
          <w:sz w:val="21"/>
          <w:szCs w:val="21"/>
          <w:lang/>
        </w:rPr>
        <w:t>Porcelain</w:t>
      </w:r>
      <w:r w:rsidRPr="00E250B2">
        <w:rPr>
          <w:rStyle w:val="shorttext"/>
          <w:b/>
          <w:sz w:val="21"/>
          <w:szCs w:val="21"/>
        </w:rPr>
        <w:t xml:space="preserve"> </w:t>
      </w:r>
      <w:r w:rsidRPr="000D3B41">
        <w:rPr>
          <w:rStyle w:val="hps"/>
          <w:b/>
          <w:sz w:val="21"/>
          <w:szCs w:val="21"/>
          <w:lang/>
        </w:rPr>
        <w:t>plastic</w:t>
      </w:r>
      <w:r w:rsidRPr="00E250B2">
        <w:rPr>
          <w:rStyle w:val="shorttext"/>
          <w:b/>
          <w:sz w:val="21"/>
          <w:szCs w:val="21"/>
        </w:rPr>
        <w:t xml:space="preserve"> </w:t>
      </w:r>
      <w:r w:rsidRPr="000D3B41">
        <w:rPr>
          <w:rStyle w:val="hps"/>
          <w:b/>
          <w:sz w:val="21"/>
          <w:szCs w:val="21"/>
          <w:lang/>
        </w:rPr>
        <w:t>XVIII</w:t>
      </w:r>
      <w:r w:rsidRPr="00E250B2">
        <w:rPr>
          <w:rStyle w:val="hps"/>
          <w:b/>
          <w:sz w:val="21"/>
          <w:szCs w:val="21"/>
        </w:rPr>
        <w:t xml:space="preserve"> </w:t>
      </w:r>
      <w:r w:rsidRPr="000D3B41">
        <w:rPr>
          <w:rStyle w:val="hps"/>
          <w:b/>
          <w:sz w:val="21"/>
          <w:szCs w:val="21"/>
          <w:lang/>
        </w:rPr>
        <w:t>century</w:t>
      </w: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Cs/>
          <w:sz w:val="21"/>
          <w:szCs w:val="21"/>
        </w:rPr>
      </w:pP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Cs/>
          <w:sz w:val="21"/>
          <w:szCs w:val="21"/>
        </w:rPr>
      </w:pPr>
      <w:r w:rsidRPr="000D3B41">
        <w:rPr>
          <w:b/>
          <w:bCs/>
          <w:sz w:val="21"/>
          <w:szCs w:val="21"/>
        </w:rPr>
        <w:t>Ключевые слова:</w:t>
      </w:r>
      <w:r w:rsidRPr="000D3B41">
        <w:rPr>
          <w:bCs/>
          <w:sz w:val="21"/>
          <w:szCs w:val="21"/>
        </w:rPr>
        <w:t xml:space="preserve"> фарфоровая скульптура, XVIII век, Екатерина II, Фридрих </w:t>
      </w:r>
      <w:r w:rsidRPr="000D3B41">
        <w:rPr>
          <w:bCs/>
          <w:sz w:val="21"/>
          <w:szCs w:val="21"/>
          <w:lang w:val="en-US"/>
        </w:rPr>
        <w:t>II</w:t>
      </w:r>
      <w:r w:rsidRPr="000D3B41">
        <w:rPr>
          <w:bCs/>
          <w:sz w:val="21"/>
          <w:szCs w:val="21"/>
        </w:rPr>
        <w:t>.</w:t>
      </w: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Cs/>
          <w:sz w:val="21"/>
          <w:szCs w:val="21"/>
          <w:lang w:val="en-US"/>
        </w:rPr>
      </w:pPr>
      <w:r w:rsidRPr="000D3B41">
        <w:rPr>
          <w:rStyle w:val="hps"/>
          <w:b/>
          <w:sz w:val="21"/>
          <w:szCs w:val="21"/>
          <w:lang w:val="en-US"/>
        </w:rPr>
        <w:t>Keywords:</w:t>
      </w:r>
      <w:r w:rsidRPr="000D3B41">
        <w:rPr>
          <w:rStyle w:val="hps"/>
          <w:sz w:val="21"/>
          <w:szCs w:val="21"/>
          <w:lang w:val="en-US"/>
        </w:rPr>
        <w:t xml:space="preserve"> </w:t>
      </w:r>
      <w:r w:rsidRPr="000D3B41">
        <w:rPr>
          <w:rStyle w:val="hps"/>
          <w:sz w:val="21"/>
          <w:szCs w:val="21"/>
          <w:lang/>
        </w:rPr>
        <w:t>porcelain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sculpture</w:t>
      </w:r>
      <w:r w:rsidRPr="000D3B41">
        <w:rPr>
          <w:sz w:val="21"/>
          <w:szCs w:val="21"/>
          <w:lang/>
        </w:rPr>
        <w:t xml:space="preserve">, XVIII century, </w:t>
      </w:r>
      <w:r w:rsidRPr="000D3B41">
        <w:rPr>
          <w:rStyle w:val="hps"/>
          <w:sz w:val="21"/>
          <w:szCs w:val="21"/>
          <w:lang/>
        </w:rPr>
        <w:t>Catherine II,</w:t>
      </w:r>
      <w:r w:rsidRPr="000D3B41">
        <w:rPr>
          <w:sz w:val="21"/>
          <w:szCs w:val="21"/>
          <w:lang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0D3B41">
            <w:rPr>
              <w:rStyle w:val="hps"/>
              <w:sz w:val="21"/>
              <w:szCs w:val="21"/>
              <w:lang/>
            </w:rPr>
            <w:t>Frederick</w:t>
          </w:r>
        </w:smartTag>
      </w:smartTag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and</w:t>
      </w: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Cs/>
          <w:sz w:val="21"/>
          <w:szCs w:val="21"/>
          <w:lang w:val="en-US"/>
        </w:rPr>
      </w:pP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Cs/>
          <w:sz w:val="21"/>
          <w:szCs w:val="21"/>
        </w:rPr>
      </w:pPr>
      <w:r w:rsidRPr="000D3B41">
        <w:rPr>
          <w:b/>
          <w:bCs/>
          <w:sz w:val="21"/>
          <w:szCs w:val="21"/>
        </w:rPr>
        <w:t>Аннотация:</w:t>
      </w:r>
      <w:r w:rsidRPr="000D3B41">
        <w:rPr>
          <w:bCs/>
          <w:sz w:val="21"/>
          <w:szCs w:val="21"/>
        </w:rPr>
        <w:t xml:space="preserve"> Статья посвящена фарфоровой пластике братьев Ф.Э. и </w:t>
      </w:r>
      <w:proofErr w:type="spellStart"/>
      <w:r w:rsidRPr="000D3B41">
        <w:rPr>
          <w:bCs/>
          <w:sz w:val="21"/>
          <w:szCs w:val="21"/>
        </w:rPr>
        <w:t>В.Х.Мейеров</w:t>
      </w:r>
      <w:proofErr w:type="spellEnd"/>
      <w:r w:rsidRPr="000D3B41">
        <w:rPr>
          <w:bCs/>
          <w:sz w:val="21"/>
          <w:szCs w:val="21"/>
        </w:rPr>
        <w:t xml:space="preserve"> из собрания музея МГХПА им. С.Г.Строганова. Эти произведения являются вариантами моделей фигур известного Десертного сервиза, преподнесенного в 1772 году прусским королем Фридрихом II русской императрице Екатерине Великой.</w:t>
      </w: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Cs/>
          <w:sz w:val="21"/>
          <w:szCs w:val="21"/>
          <w:lang w:val="en-US"/>
        </w:rPr>
      </w:pPr>
      <w:r w:rsidRPr="000D3B41">
        <w:rPr>
          <w:b/>
          <w:bCs/>
          <w:sz w:val="21"/>
          <w:szCs w:val="21"/>
          <w:lang w:val="en-US"/>
        </w:rPr>
        <w:t>Abstract:</w:t>
      </w:r>
      <w:r w:rsidRPr="000D3B41">
        <w:rPr>
          <w:bCs/>
          <w:sz w:val="21"/>
          <w:szCs w:val="21"/>
          <w:lang w:val="en-US"/>
        </w:rPr>
        <w:t xml:space="preserve">  </w:t>
      </w:r>
      <w:r w:rsidRPr="000D3B41">
        <w:rPr>
          <w:rStyle w:val="hps"/>
          <w:sz w:val="21"/>
          <w:szCs w:val="21"/>
          <w:lang/>
        </w:rPr>
        <w:t>The article is devoted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brothers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porcelain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plastic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FE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and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from the museum collection</w:t>
      </w:r>
      <w:r w:rsidRPr="000D3B41">
        <w:rPr>
          <w:sz w:val="21"/>
          <w:szCs w:val="21"/>
          <w:lang/>
        </w:rPr>
        <w:t xml:space="preserve"> </w:t>
      </w:r>
      <w:proofErr w:type="spellStart"/>
      <w:r w:rsidRPr="000D3B41">
        <w:rPr>
          <w:rStyle w:val="hps"/>
          <w:sz w:val="21"/>
          <w:szCs w:val="21"/>
          <w:lang/>
        </w:rPr>
        <w:t>V.H.Meyerov</w:t>
      </w:r>
      <w:proofErr w:type="spellEnd"/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MGHPA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them</w:t>
      </w:r>
      <w:r w:rsidRPr="000D3B41">
        <w:rPr>
          <w:sz w:val="21"/>
          <w:szCs w:val="21"/>
          <w:lang/>
        </w:rPr>
        <w:t xml:space="preserve">. </w:t>
      </w:r>
      <w:proofErr w:type="spellStart"/>
      <w:r w:rsidRPr="000D3B41">
        <w:rPr>
          <w:rStyle w:val="hps"/>
          <w:sz w:val="21"/>
          <w:szCs w:val="21"/>
          <w:lang/>
        </w:rPr>
        <w:t>Stroganov</w:t>
      </w:r>
      <w:proofErr w:type="spellEnd"/>
      <w:r w:rsidRPr="000D3B41">
        <w:rPr>
          <w:sz w:val="21"/>
          <w:szCs w:val="21"/>
          <w:lang/>
        </w:rPr>
        <w:t xml:space="preserve">. </w:t>
      </w:r>
      <w:r w:rsidRPr="000D3B41">
        <w:rPr>
          <w:rStyle w:val="hps"/>
          <w:sz w:val="21"/>
          <w:szCs w:val="21"/>
          <w:lang/>
        </w:rPr>
        <w:t>These works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are variations of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models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known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figures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dessert service</w:t>
      </w:r>
      <w:r w:rsidRPr="000D3B41">
        <w:rPr>
          <w:sz w:val="21"/>
          <w:szCs w:val="21"/>
          <w:lang/>
        </w:rPr>
        <w:t xml:space="preserve">, presented </w:t>
      </w:r>
      <w:r w:rsidRPr="000D3B41">
        <w:rPr>
          <w:rStyle w:val="hps"/>
          <w:sz w:val="21"/>
          <w:szCs w:val="21"/>
          <w:lang/>
        </w:rPr>
        <w:t>in 1772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by the Prussian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King Frederick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II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Russian</w:t>
      </w:r>
      <w:r w:rsidRPr="000D3B41">
        <w:rPr>
          <w:sz w:val="21"/>
          <w:szCs w:val="21"/>
          <w:lang/>
        </w:rPr>
        <w:t xml:space="preserve"> </w:t>
      </w:r>
      <w:r w:rsidRPr="000D3B41">
        <w:rPr>
          <w:rStyle w:val="hps"/>
          <w:sz w:val="21"/>
          <w:szCs w:val="21"/>
          <w:lang/>
        </w:rPr>
        <w:t>Empress Catherine the Great</w:t>
      </w:r>
      <w:r w:rsidRPr="000D3B41">
        <w:rPr>
          <w:sz w:val="21"/>
          <w:szCs w:val="21"/>
          <w:lang/>
        </w:rPr>
        <w:t>.</w:t>
      </w: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Cs/>
          <w:sz w:val="21"/>
          <w:szCs w:val="21"/>
          <w:lang w:val="en-US"/>
        </w:rPr>
      </w:pPr>
    </w:p>
    <w:p w:rsidR="00E250B2" w:rsidRPr="000D3B41" w:rsidRDefault="00E250B2" w:rsidP="00E250B2">
      <w:pPr>
        <w:autoSpaceDE w:val="0"/>
        <w:autoSpaceDN w:val="0"/>
        <w:adjustRightInd w:val="0"/>
        <w:ind w:firstLine="600"/>
        <w:rPr>
          <w:bCs/>
          <w:sz w:val="21"/>
          <w:szCs w:val="21"/>
        </w:rPr>
      </w:pPr>
      <w:r w:rsidRPr="000D3B41">
        <w:rPr>
          <w:bCs/>
          <w:sz w:val="21"/>
          <w:szCs w:val="21"/>
        </w:rPr>
        <w:t>В собрании Музея декоративно-прикладного и промышленного искусства при МГХПА им. С.Г.Строганова хранятся 20 фигур, входивших в состав настольного украшения известного Десертного сервиза,  преподнесенного в 1772 году прусским королем Фридрихом II русской императрице Екатерине Великой. В настоящее время основной комплект этого ансамбля хранится в собрании Государственного Эрмитажа (Рис. 1. Блюдо Десертного сервиза. 1772 год).  Повторение 1908 года</w:t>
      </w:r>
      <w:r w:rsidRPr="000D3B41">
        <w:rPr>
          <w:rStyle w:val="a5"/>
          <w:bCs/>
          <w:sz w:val="21"/>
          <w:szCs w:val="21"/>
        </w:rPr>
        <w:footnoteReference w:id="1"/>
      </w:r>
      <w:r w:rsidRPr="000D3B41">
        <w:rPr>
          <w:bCs/>
          <w:sz w:val="21"/>
          <w:szCs w:val="21"/>
        </w:rPr>
        <w:t xml:space="preserve"> (без сюиты «Свободные художества») находится в Государственном Историческом музее……</w:t>
      </w:r>
    </w:p>
    <w:p w:rsidR="00E250B2" w:rsidRPr="000D3B41" w:rsidRDefault="00E250B2" w:rsidP="00E250B2">
      <w:pPr>
        <w:ind w:firstLine="0"/>
        <w:rPr>
          <w:bCs/>
          <w:sz w:val="21"/>
          <w:szCs w:val="21"/>
        </w:rPr>
      </w:pPr>
    </w:p>
    <w:p w:rsidR="00E250B2" w:rsidRPr="000D3B41" w:rsidRDefault="00E250B2" w:rsidP="00E250B2">
      <w:pPr>
        <w:ind w:firstLine="0"/>
        <w:rPr>
          <w:bCs/>
          <w:sz w:val="21"/>
          <w:szCs w:val="21"/>
        </w:rPr>
      </w:pP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/>
          <w:bCs/>
          <w:sz w:val="21"/>
          <w:szCs w:val="21"/>
        </w:rPr>
      </w:pPr>
      <w:r w:rsidRPr="000D3B41">
        <w:rPr>
          <w:b/>
          <w:bCs/>
          <w:sz w:val="21"/>
          <w:szCs w:val="21"/>
        </w:rPr>
        <w:t>Библиография:</w:t>
      </w: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Cs/>
          <w:sz w:val="21"/>
          <w:szCs w:val="21"/>
        </w:rPr>
      </w:pPr>
      <w:r w:rsidRPr="000D3B41">
        <w:rPr>
          <w:bCs/>
          <w:sz w:val="21"/>
          <w:szCs w:val="21"/>
        </w:rPr>
        <w:t xml:space="preserve">1. </w:t>
      </w:r>
      <w:proofErr w:type="spellStart"/>
      <w:r w:rsidRPr="000D3B41">
        <w:rPr>
          <w:bCs/>
          <w:i/>
          <w:sz w:val="21"/>
          <w:szCs w:val="21"/>
        </w:rPr>
        <w:t>Бубчикова</w:t>
      </w:r>
      <w:proofErr w:type="spellEnd"/>
      <w:r w:rsidRPr="000D3B41">
        <w:rPr>
          <w:bCs/>
          <w:i/>
          <w:sz w:val="21"/>
          <w:szCs w:val="21"/>
        </w:rPr>
        <w:t xml:space="preserve"> М.</w:t>
      </w:r>
      <w:r w:rsidRPr="000D3B41">
        <w:rPr>
          <w:bCs/>
          <w:sz w:val="21"/>
          <w:szCs w:val="21"/>
        </w:rPr>
        <w:t xml:space="preserve"> Русская тема в немецком фарфоре 1770–1815 гг. // Пинакотека. 2000.- № 10–11.</w:t>
      </w: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Cs/>
          <w:sz w:val="21"/>
          <w:szCs w:val="21"/>
        </w:rPr>
      </w:pPr>
      <w:r w:rsidRPr="000D3B41">
        <w:rPr>
          <w:bCs/>
          <w:sz w:val="21"/>
          <w:szCs w:val="21"/>
        </w:rPr>
        <w:t xml:space="preserve">2. </w:t>
      </w:r>
      <w:r w:rsidRPr="000D3B41">
        <w:rPr>
          <w:bCs/>
          <w:i/>
          <w:sz w:val="21"/>
          <w:szCs w:val="21"/>
        </w:rPr>
        <w:t>Казакевич Н.И.</w:t>
      </w:r>
      <w:r w:rsidRPr="000D3B41">
        <w:rPr>
          <w:bCs/>
          <w:sz w:val="21"/>
          <w:szCs w:val="21"/>
        </w:rPr>
        <w:t xml:space="preserve"> Западноевропейский фарфор в Эрмитаже. История собрания. СПб., 2003.</w:t>
      </w:r>
    </w:p>
    <w:p w:rsidR="00E250B2" w:rsidRPr="000D3B41" w:rsidRDefault="00E250B2" w:rsidP="00E250B2">
      <w:pPr>
        <w:autoSpaceDE w:val="0"/>
        <w:autoSpaceDN w:val="0"/>
        <w:adjustRightInd w:val="0"/>
        <w:ind w:firstLine="0"/>
        <w:jc w:val="left"/>
        <w:rPr>
          <w:bCs/>
          <w:sz w:val="21"/>
          <w:szCs w:val="21"/>
        </w:rPr>
      </w:pPr>
      <w:r w:rsidRPr="000D3B41">
        <w:rPr>
          <w:bCs/>
          <w:sz w:val="21"/>
          <w:szCs w:val="21"/>
        </w:rPr>
        <w:t xml:space="preserve">3. </w:t>
      </w:r>
      <w:proofErr w:type="spellStart"/>
      <w:r w:rsidRPr="000D3B41">
        <w:rPr>
          <w:bCs/>
          <w:i/>
          <w:sz w:val="21"/>
          <w:szCs w:val="21"/>
        </w:rPr>
        <w:t>Комелова</w:t>
      </w:r>
      <w:proofErr w:type="spellEnd"/>
      <w:r w:rsidRPr="000D3B41">
        <w:rPr>
          <w:bCs/>
          <w:i/>
          <w:sz w:val="21"/>
          <w:szCs w:val="21"/>
        </w:rPr>
        <w:t xml:space="preserve"> Г.Н.</w:t>
      </w:r>
      <w:r w:rsidRPr="000D3B41">
        <w:rPr>
          <w:bCs/>
          <w:sz w:val="21"/>
          <w:szCs w:val="21"/>
        </w:rPr>
        <w:t xml:space="preserve"> Серия гравюр 1791–1792 гг. работы </w:t>
      </w:r>
      <w:proofErr w:type="spellStart"/>
      <w:r w:rsidRPr="000D3B41">
        <w:rPr>
          <w:bCs/>
          <w:sz w:val="21"/>
          <w:szCs w:val="21"/>
        </w:rPr>
        <w:t>Х.Г.Гейслера</w:t>
      </w:r>
      <w:proofErr w:type="spellEnd"/>
      <w:r w:rsidRPr="000D3B41">
        <w:rPr>
          <w:bCs/>
          <w:sz w:val="21"/>
          <w:szCs w:val="21"/>
        </w:rPr>
        <w:t xml:space="preserve"> и К.Г.Шенберга с изображением  петербургских разносчиков // Труды Государственного Эрмитажа. </w:t>
      </w:r>
      <w:proofErr w:type="spellStart"/>
      <w:r w:rsidRPr="000D3B41">
        <w:rPr>
          <w:bCs/>
          <w:sz w:val="21"/>
          <w:szCs w:val="21"/>
        </w:rPr>
        <w:t>Вып</w:t>
      </w:r>
      <w:proofErr w:type="spellEnd"/>
      <w:r w:rsidRPr="000D3B41">
        <w:rPr>
          <w:bCs/>
          <w:sz w:val="21"/>
          <w:szCs w:val="21"/>
        </w:rPr>
        <w:t>. XI (2). Л., 1970.</w:t>
      </w:r>
    </w:p>
    <w:p w:rsidR="00480A4D" w:rsidRDefault="00480A4D"/>
    <w:sectPr w:rsidR="00480A4D" w:rsidSect="0048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26" w:rsidRDefault="00B23B26" w:rsidP="00E250B2">
      <w:r>
        <w:separator/>
      </w:r>
    </w:p>
  </w:endnote>
  <w:endnote w:type="continuationSeparator" w:id="0">
    <w:p w:rsidR="00B23B26" w:rsidRDefault="00B23B26" w:rsidP="00E25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26" w:rsidRDefault="00B23B26" w:rsidP="00E250B2">
      <w:r>
        <w:separator/>
      </w:r>
    </w:p>
  </w:footnote>
  <w:footnote w:type="continuationSeparator" w:id="0">
    <w:p w:rsidR="00B23B26" w:rsidRDefault="00B23B26" w:rsidP="00E250B2">
      <w:r>
        <w:continuationSeparator/>
      </w:r>
    </w:p>
  </w:footnote>
  <w:footnote w:id="1">
    <w:p w:rsidR="00E250B2" w:rsidRPr="001373C8" w:rsidRDefault="00E250B2" w:rsidP="00E250B2">
      <w:pPr>
        <w:autoSpaceDE w:val="0"/>
        <w:autoSpaceDN w:val="0"/>
        <w:adjustRightInd w:val="0"/>
        <w:ind w:firstLine="0"/>
        <w:jc w:val="left"/>
        <w:rPr>
          <w:sz w:val="22"/>
          <w:szCs w:val="22"/>
        </w:rPr>
      </w:pPr>
      <w:r w:rsidRPr="001373C8">
        <w:rPr>
          <w:rStyle w:val="a5"/>
          <w:sz w:val="22"/>
          <w:szCs w:val="22"/>
        </w:rPr>
        <w:footnoteRef/>
      </w:r>
      <w:r w:rsidRPr="001373C8">
        <w:rPr>
          <w:sz w:val="22"/>
          <w:szCs w:val="22"/>
        </w:rPr>
        <w:t xml:space="preserve"> </w:t>
      </w:r>
      <w:proofErr w:type="spellStart"/>
      <w:r w:rsidRPr="001373C8">
        <w:rPr>
          <w:i/>
          <w:iCs/>
          <w:sz w:val="22"/>
          <w:szCs w:val="22"/>
        </w:rPr>
        <w:t>Пахомова-Герес</w:t>
      </w:r>
      <w:proofErr w:type="spellEnd"/>
      <w:r w:rsidRPr="001373C8">
        <w:rPr>
          <w:i/>
          <w:iCs/>
          <w:sz w:val="22"/>
          <w:szCs w:val="22"/>
        </w:rPr>
        <w:t xml:space="preserve"> В. </w:t>
      </w:r>
      <w:r w:rsidRPr="001373C8">
        <w:rPr>
          <w:sz w:val="22"/>
          <w:szCs w:val="22"/>
        </w:rPr>
        <w:t>Фарфоровый гимн Семирамиде Севера // Пинакотека. 2000. - № 10–11.- С. 232.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3A64"/>
    <w:multiLevelType w:val="hybridMultilevel"/>
    <w:tmpl w:val="885A7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4A46E2"/>
    <w:multiLevelType w:val="hybridMultilevel"/>
    <w:tmpl w:val="F12A7F3C"/>
    <w:lvl w:ilvl="0" w:tplc="06E2892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B2"/>
    <w:rsid w:val="00480A4D"/>
    <w:rsid w:val="00B23B26"/>
    <w:rsid w:val="00C267FC"/>
    <w:rsid w:val="00E250B2"/>
    <w:rsid w:val="00F5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B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50B2"/>
    <w:pPr>
      <w:spacing w:before="120"/>
      <w:ind w:firstLine="0"/>
    </w:pPr>
  </w:style>
  <w:style w:type="character" w:customStyle="1" w:styleId="20">
    <w:name w:val="Основной текст 2 Знак"/>
    <w:basedOn w:val="a0"/>
    <w:link w:val="2"/>
    <w:rsid w:val="00E250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250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50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basedOn w:val="a0"/>
    <w:semiHidden/>
    <w:rsid w:val="00E250B2"/>
    <w:rPr>
      <w:vertAlign w:val="superscript"/>
    </w:rPr>
  </w:style>
  <w:style w:type="character" w:customStyle="1" w:styleId="hps">
    <w:name w:val="hps"/>
    <w:basedOn w:val="a0"/>
    <w:rsid w:val="00E250B2"/>
  </w:style>
  <w:style w:type="character" w:customStyle="1" w:styleId="shorttext">
    <w:name w:val="short_text"/>
    <w:basedOn w:val="a0"/>
    <w:rsid w:val="00E25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3337</Characters>
  <Application>Microsoft Office Word</Application>
  <DocSecurity>0</DocSecurity>
  <Lines>49</Lines>
  <Paragraphs>5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2016-10-20T11:08:00Z</dcterms:created>
  <dcterms:modified xsi:type="dcterms:W3CDTF">2016-10-20T11:12:00Z</dcterms:modified>
</cp:coreProperties>
</file>